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077" w:rsidRPr="00050077" w:rsidRDefault="00050077" w:rsidP="00050077">
      <w:pPr>
        <w:widowControl/>
        <w:spacing w:line="580" w:lineRule="exact"/>
        <w:ind w:firstLineChars="200" w:firstLine="880"/>
        <w:rPr>
          <w:rFonts w:ascii="方正小标宋简体" w:eastAsia="方正小标宋简体" w:hAnsi="微软雅黑" w:cs="宋体" w:hint="eastAsia"/>
          <w:bCs/>
          <w:color w:val="000000" w:themeColor="text1"/>
          <w:kern w:val="0"/>
          <w:sz w:val="44"/>
          <w:szCs w:val="44"/>
        </w:rPr>
      </w:pPr>
      <w:r w:rsidRPr="00050077">
        <w:rPr>
          <w:rFonts w:ascii="方正小标宋简体" w:eastAsia="方正小标宋简体" w:hAnsi="微软雅黑" w:cs="宋体" w:hint="eastAsia"/>
          <w:bCs/>
          <w:color w:val="000000" w:themeColor="text1"/>
          <w:kern w:val="0"/>
          <w:sz w:val="44"/>
          <w:szCs w:val="44"/>
        </w:rPr>
        <w:t xml:space="preserve">证券公司柜台市场管理办法（试行） </w:t>
      </w:r>
    </w:p>
    <w:p w:rsidR="00050077" w:rsidRDefault="00050077" w:rsidP="00050077">
      <w:pPr>
        <w:widowControl/>
        <w:spacing w:line="580" w:lineRule="exact"/>
        <w:ind w:firstLineChars="200" w:firstLine="560"/>
        <w:rPr>
          <w:rFonts w:ascii="宋体" w:eastAsia="宋体" w:hAnsi="宋体" w:cs="宋体"/>
          <w:color w:val="000000"/>
          <w:kern w:val="0"/>
          <w:sz w:val="28"/>
          <w:szCs w:val="32"/>
        </w:rPr>
      </w:pPr>
      <w:r w:rsidRPr="00050077">
        <w:rPr>
          <w:rFonts w:ascii="宋体" w:eastAsia="宋体" w:hAnsi="宋体" w:cs="宋体" w:hint="eastAsia"/>
          <w:color w:val="000000"/>
          <w:kern w:val="0"/>
          <w:sz w:val="28"/>
          <w:szCs w:val="32"/>
        </w:rPr>
        <w:t>(2014年7月21日第五届常务理事会第二十二次会议表决通过,</w:t>
      </w:r>
    </w:p>
    <w:p w:rsidR="00050077" w:rsidRPr="00050077" w:rsidRDefault="00050077" w:rsidP="00050077">
      <w:pPr>
        <w:widowControl/>
        <w:spacing w:line="580" w:lineRule="exact"/>
        <w:ind w:firstLineChars="200" w:firstLine="560"/>
        <w:jc w:val="center"/>
        <w:rPr>
          <w:rFonts w:ascii="宋体" w:eastAsia="宋体" w:hAnsi="宋体" w:cs="宋体" w:hint="eastAsia"/>
          <w:color w:val="000000"/>
          <w:kern w:val="0"/>
          <w:sz w:val="28"/>
          <w:szCs w:val="32"/>
        </w:rPr>
      </w:pPr>
      <w:r w:rsidRPr="00050077">
        <w:rPr>
          <w:rFonts w:ascii="宋体" w:eastAsia="宋体" w:hAnsi="宋体" w:cs="宋体" w:hint="eastAsia"/>
          <w:color w:val="000000"/>
          <w:kern w:val="0"/>
          <w:sz w:val="28"/>
          <w:szCs w:val="32"/>
        </w:rPr>
        <w:t>2014年8月15日发布)</w:t>
      </w:r>
    </w:p>
    <w:p w:rsidR="00050077" w:rsidRDefault="00050077" w:rsidP="00050077">
      <w:pPr>
        <w:widowControl/>
        <w:spacing w:line="580" w:lineRule="exact"/>
        <w:ind w:firstLineChars="200" w:firstLine="643"/>
        <w:jc w:val="center"/>
        <w:rPr>
          <w:rFonts w:ascii="宋体" w:eastAsia="宋体" w:hAnsi="宋体" w:cs="宋体"/>
          <w:b/>
          <w:bCs/>
          <w:color w:val="000000"/>
          <w:kern w:val="0"/>
          <w:sz w:val="32"/>
          <w:szCs w:val="32"/>
        </w:rPr>
      </w:pPr>
    </w:p>
    <w:p w:rsidR="00050077" w:rsidRPr="00050077" w:rsidRDefault="00050077" w:rsidP="00050077">
      <w:pPr>
        <w:widowControl/>
        <w:spacing w:line="580" w:lineRule="exact"/>
        <w:ind w:firstLineChars="200" w:firstLine="643"/>
        <w:jc w:val="center"/>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第一章</w:t>
      </w:r>
      <w:r>
        <w:rPr>
          <w:rFonts w:ascii="宋体" w:eastAsia="宋体" w:hAnsi="宋体" w:cs="宋体" w:hint="eastAsia"/>
          <w:b/>
          <w:bCs/>
          <w:color w:val="000000"/>
          <w:kern w:val="0"/>
          <w:sz w:val="32"/>
          <w:szCs w:val="32"/>
        </w:rPr>
        <w:t> </w:t>
      </w:r>
      <w:r w:rsidRPr="00050077">
        <w:rPr>
          <w:rFonts w:ascii="宋体" w:eastAsia="宋体" w:hAnsi="宋体" w:cs="宋体" w:hint="eastAsia"/>
          <w:b/>
          <w:bCs/>
          <w:color w:val="000000"/>
          <w:kern w:val="0"/>
          <w:sz w:val="32"/>
          <w:szCs w:val="32"/>
        </w:rPr>
        <w:t>总则</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第一条</w:t>
      </w:r>
      <w:r w:rsidRPr="00050077">
        <w:rPr>
          <w:rFonts w:ascii="宋体" w:eastAsia="宋体" w:hAnsi="宋体" w:cs="宋体" w:hint="eastAsia"/>
          <w:color w:val="000000"/>
          <w:kern w:val="0"/>
          <w:sz w:val="32"/>
          <w:szCs w:val="32"/>
        </w:rPr>
        <w:t>为促进证券公司柜台市场规范发展,保护投资者合法权益,维护柜台市场秩序,根据《中华人民共和国证券法》、《中华人民共和国证券投资基金法》等制定本办法。</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第二条</w:t>
      </w:r>
      <w:r w:rsidRPr="00050077">
        <w:rPr>
          <w:rFonts w:ascii="宋体" w:eastAsia="宋体" w:hAnsi="宋体" w:cs="宋体" w:hint="eastAsia"/>
          <w:color w:val="000000"/>
          <w:kern w:val="0"/>
          <w:sz w:val="32"/>
          <w:szCs w:val="32"/>
        </w:rPr>
        <w:t>证券公</w:t>
      </w:r>
      <w:bookmarkStart w:id="0" w:name="_GoBack"/>
      <w:bookmarkEnd w:id="0"/>
      <w:r w:rsidRPr="00050077">
        <w:rPr>
          <w:rFonts w:ascii="宋体" w:eastAsia="宋体" w:hAnsi="宋体" w:cs="宋体" w:hint="eastAsia"/>
          <w:color w:val="000000"/>
          <w:kern w:val="0"/>
          <w:sz w:val="32"/>
          <w:szCs w:val="32"/>
        </w:rPr>
        <w:t>司柜台市场是指证券公司为与特定交易对手方在集中交易场所之外进行交易或为投资者在集中交易场所之外进行交易提供服务的场所或平台。</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第三条</w:t>
      </w:r>
      <w:r w:rsidRPr="00050077">
        <w:rPr>
          <w:rFonts w:ascii="宋体" w:eastAsia="宋体" w:hAnsi="宋体" w:cs="宋体" w:hint="eastAsia"/>
          <w:color w:val="000000"/>
          <w:kern w:val="0"/>
          <w:sz w:val="32"/>
          <w:szCs w:val="32"/>
        </w:rPr>
        <w:t>证券公司在柜台市场开展业务,应当遵守有关法律法规,遵循诚实信用、公平自愿的原则,不得侵害投资者合法权益,不得挪用客户资产,不得利用非公开信息谋取不正当利益。</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第四条</w:t>
      </w:r>
      <w:r w:rsidRPr="00050077">
        <w:rPr>
          <w:rFonts w:ascii="宋体" w:eastAsia="宋体" w:hAnsi="宋体" w:cs="宋体" w:hint="eastAsia"/>
          <w:color w:val="000000"/>
          <w:kern w:val="0"/>
          <w:sz w:val="32"/>
          <w:szCs w:val="32"/>
        </w:rPr>
        <w:t>证券公司在柜台市场开展业务,应当按照法律、行政法规、中国证券监督管理委员会(以下简称“中国证监会”)规定、行业自律规则等建立投资者适当性管理制度,做好投资者准入、投资者教育等工作,不得诱导投资者参与与其风险承受能力不相适应的交易。</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证券公司应当采取有效措施确保在柜台市场交易的私募产品持有人数量符合相关规定,并要求私募产品发行人承诺私募产品的持有人数量符合相关规定。</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lastRenderedPageBreak/>
        <w:t>第五条</w:t>
      </w:r>
      <w:r w:rsidRPr="00050077">
        <w:rPr>
          <w:rFonts w:ascii="宋体" w:eastAsia="宋体" w:hAnsi="宋体" w:cs="宋体" w:hint="eastAsia"/>
          <w:color w:val="000000"/>
          <w:kern w:val="0"/>
          <w:sz w:val="32"/>
          <w:szCs w:val="32"/>
        </w:rPr>
        <w:t>证券公司应当建立健全柜台市场产品管理制度,对产品进行集中管理,并对产品合规性和风险等级进行内部审查。</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证券公司在柜台市场开展业务,应当建立健全柜台市场业务管理、合规管理和风险管理等制度,保障柜台市场安全、有序运行。</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第六条</w:t>
      </w:r>
      <w:r w:rsidRPr="00050077">
        <w:rPr>
          <w:rFonts w:ascii="宋体" w:eastAsia="宋体" w:hAnsi="宋体" w:cs="宋体" w:hint="eastAsia"/>
          <w:color w:val="000000"/>
          <w:kern w:val="0"/>
          <w:sz w:val="32"/>
          <w:szCs w:val="32"/>
        </w:rPr>
        <w:t>证券公司应当依照本办法开展柜台市场业务并接受中国证券业协会(以下简称“协会”)的自律管理。</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协会委托中证资本市场发展监测中心有限责任公司(以下简称“市场监测中心”)建立机构间私募产品报价与服务系统(以下简称“报价系统”),为柜台市场提供互联互通服务。</w:t>
      </w:r>
    </w:p>
    <w:p w:rsidR="00050077" w:rsidRDefault="00050077" w:rsidP="00050077">
      <w:pPr>
        <w:widowControl/>
        <w:spacing w:line="580" w:lineRule="exact"/>
        <w:ind w:firstLineChars="200" w:firstLine="643"/>
        <w:jc w:val="center"/>
        <w:rPr>
          <w:rFonts w:ascii="宋体" w:eastAsia="宋体" w:hAnsi="宋体" w:cs="宋体"/>
          <w:b/>
          <w:bCs/>
          <w:color w:val="000000"/>
          <w:kern w:val="0"/>
          <w:sz w:val="32"/>
          <w:szCs w:val="32"/>
        </w:rPr>
      </w:pPr>
    </w:p>
    <w:p w:rsidR="00050077" w:rsidRPr="00050077" w:rsidRDefault="00050077" w:rsidP="00050077">
      <w:pPr>
        <w:widowControl/>
        <w:spacing w:line="580" w:lineRule="exact"/>
        <w:ind w:firstLineChars="200" w:firstLine="643"/>
        <w:jc w:val="center"/>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第二章 发行、销售与转让</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第七条</w:t>
      </w:r>
      <w:r w:rsidRPr="00050077">
        <w:rPr>
          <w:rFonts w:ascii="宋体" w:eastAsia="宋体" w:hAnsi="宋体" w:cs="宋体" w:hint="eastAsia"/>
          <w:color w:val="000000"/>
          <w:kern w:val="0"/>
          <w:sz w:val="32"/>
          <w:szCs w:val="32"/>
        </w:rPr>
        <w:t>除金融监管部门明确规定必须事前审批、备案的私募产品外,证券公司在柜台市场发行、销售与转让的私募产品,直接实行事后备案。</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在柜台市场发行、销售与转让的私募产品应当依法合规,资金投向应当符合法律法规和国家有关政策规定。</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第八条</w:t>
      </w:r>
      <w:r w:rsidRPr="00050077">
        <w:rPr>
          <w:rFonts w:ascii="宋体" w:eastAsia="宋体" w:hAnsi="宋体" w:cs="宋体" w:hint="eastAsia"/>
          <w:color w:val="000000"/>
          <w:kern w:val="0"/>
          <w:sz w:val="32"/>
          <w:szCs w:val="32"/>
        </w:rPr>
        <w:t>在柜台市场发行、销售与转让的产品包括但不限于以下私募产品:</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(一)证券公司及其子公司以非公开募集方式设立或者承销的资产管理计划、公司债务融资工具等产品;</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(二)银行、保险公司、信托公司等其他机构设立并通过证券公司发行、销售与转让的产品;</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lastRenderedPageBreak/>
        <w:t>(三)金融衍生品及中国证监会、协会认可的产品。</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第九条</w:t>
      </w:r>
      <w:r w:rsidRPr="00050077">
        <w:rPr>
          <w:rFonts w:ascii="宋体" w:eastAsia="宋体" w:hAnsi="宋体" w:cs="宋体" w:hint="eastAsia"/>
          <w:color w:val="000000"/>
          <w:kern w:val="0"/>
          <w:sz w:val="32"/>
          <w:szCs w:val="32"/>
        </w:rPr>
        <w:t>证券公司为其他机构发行的私募产品提供柜台市场发行、销售与转让服务的,应当与发行人签订协议,对发行人提供的资料进行审核并妥善保管,不得隐匿、伪造或者毁损相关资料。证券公司应当督促发行人保证其提供的资料真实、准确、完整。</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第十条</w:t>
      </w:r>
      <w:r w:rsidRPr="00050077">
        <w:rPr>
          <w:rFonts w:ascii="宋体" w:eastAsia="宋体" w:hAnsi="宋体" w:cs="宋体" w:hint="eastAsia"/>
          <w:color w:val="000000"/>
          <w:kern w:val="0"/>
          <w:sz w:val="32"/>
          <w:szCs w:val="32"/>
        </w:rPr>
        <w:t>证券公司可以采取协议、报价、做市、拍卖竞价、标购竞价等方式发行、销售与转让私募产品,不得采用集中竞价方式,法律法规有明确规定的除外。</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第十一条</w:t>
      </w:r>
      <w:r w:rsidRPr="00050077">
        <w:rPr>
          <w:rFonts w:ascii="宋体" w:eastAsia="宋体" w:hAnsi="宋体" w:cs="宋体" w:hint="eastAsia"/>
          <w:color w:val="000000"/>
          <w:kern w:val="0"/>
          <w:sz w:val="32"/>
          <w:szCs w:val="32"/>
        </w:rPr>
        <w:t xml:space="preserve"> 证券公司应当根据相关约定组织私募产品在柜台市场发行、销售与转让。因发生可能影响私募产品价值、投资者利益、诱发私募产品或者证券公司风险等的重大事项,证券公司拟暂停、终止、恢复发行、销售与转让的,应当事前公告或者以其他方式告知投资者。</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第十二条</w:t>
      </w:r>
      <w:r w:rsidRPr="00050077">
        <w:rPr>
          <w:rFonts w:ascii="宋体" w:eastAsia="宋体" w:hAnsi="宋体" w:cs="宋体" w:hint="eastAsia"/>
          <w:color w:val="000000"/>
          <w:kern w:val="0"/>
          <w:sz w:val="32"/>
          <w:szCs w:val="32"/>
        </w:rPr>
        <w:t xml:space="preserve"> 证券公司在柜台市场为投资者进行私募产品发行、销售与转让提供服务并向投资者或者产品发行人收取费用的,应当在相关协议中约定或者在证券公司网站公布收费标准。</w:t>
      </w:r>
    </w:p>
    <w:p w:rsidR="00050077" w:rsidRDefault="00050077" w:rsidP="00050077">
      <w:pPr>
        <w:widowControl/>
        <w:spacing w:line="580" w:lineRule="exact"/>
        <w:ind w:firstLineChars="200" w:firstLine="643"/>
        <w:jc w:val="center"/>
        <w:rPr>
          <w:rFonts w:ascii="宋体" w:eastAsia="宋体" w:hAnsi="宋体" w:cs="宋体"/>
          <w:b/>
          <w:bCs/>
          <w:color w:val="000000"/>
          <w:kern w:val="0"/>
          <w:sz w:val="32"/>
          <w:szCs w:val="32"/>
        </w:rPr>
      </w:pPr>
    </w:p>
    <w:p w:rsidR="00050077" w:rsidRPr="00050077" w:rsidRDefault="00050077" w:rsidP="00050077">
      <w:pPr>
        <w:widowControl/>
        <w:spacing w:line="580" w:lineRule="exact"/>
        <w:ind w:firstLineChars="200" w:firstLine="643"/>
        <w:jc w:val="center"/>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第三章</w:t>
      </w:r>
      <w:r>
        <w:rPr>
          <w:rFonts w:ascii="宋体" w:eastAsia="宋体" w:hAnsi="宋体" w:cs="宋体" w:hint="eastAsia"/>
          <w:b/>
          <w:bCs/>
          <w:color w:val="000000"/>
          <w:kern w:val="0"/>
          <w:sz w:val="32"/>
          <w:szCs w:val="32"/>
        </w:rPr>
        <w:t> </w:t>
      </w:r>
      <w:r w:rsidRPr="00050077">
        <w:rPr>
          <w:rFonts w:ascii="宋体" w:eastAsia="宋体" w:hAnsi="宋体" w:cs="宋体" w:hint="eastAsia"/>
          <w:b/>
          <w:bCs/>
          <w:color w:val="000000"/>
          <w:kern w:val="0"/>
          <w:sz w:val="32"/>
          <w:szCs w:val="32"/>
        </w:rPr>
        <w:t>账户、登记、托管与结算</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第十三条</w:t>
      </w:r>
      <w:r w:rsidRPr="00050077">
        <w:rPr>
          <w:rFonts w:ascii="宋体" w:eastAsia="宋体" w:hAnsi="宋体" w:cs="宋体" w:hint="eastAsia"/>
          <w:color w:val="000000"/>
          <w:kern w:val="0"/>
          <w:sz w:val="32"/>
          <w:szCs w:val="32"/>
        </w:rPr>
        <w:t xml:space="preserve"> 开展柜台市场业务的证券公司可以为在其柜台市场发行、销售与转让的私募产品提供登记、托管与结算服务。</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lastRenderedPageBreak/>
        <w:t>第十四条</w:t>
      </w:r>
      <w:r w:rsidRPr="00050077">
        <w:rPr>
          <w:rFonts w:ascii="宋体" w:eastAsia="宋体" w:hAnsi="宋体" w:cs="宋体" w:hint="eastAsia"/>
          <w:color w:val="000000"/>
          <w:kern w:val="0"/>
          <w:sz w:val="32"/>
          <w:szCs w:val="32"/>
        </w:rPr>
        <w:t xml:space="preserve"> 投资者在柜台市场交易私募产品,证券公司应当为其开立产品账户。</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代理投资者在柜台市场交易由其他合法登记机构登记的私募产品时,可以采取名义持有模式,以证券公司名义在该产品登记机构开立产品账户,享有产品持有人权利。证券公司与投资者应当签署名义持有协议,明确双方的权利义务关系;证券公司应当根据约定行使产品持有人相关权利,不得损害投资者权益。证券公司应当为每个投资者开立产品账户,分别记录每个投资者拥有的权益数据,并向该产品登记机构报送投资者权益明细数据等资料。</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证券公司应当在产品登记机构开立柜台市场自有产品专用账户,并与其他自有产品账户相互隔离。证券公司应当将柜台市场自有产品专用账户和参与柜台市场交易的自有资金专用存款账户向协会报备。</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应当在商业银行开立柜台市场客户资金专用存款账户,用于存放柜台市场客户的非第三方存管资金、第三方存管客户与非第三方存管客户的待交收资金,并与其他账户相互隔离。证券公司应当将该账户向中国证监会证券市场交易结算资金监控系统报备。</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第十五条</w:t>
      </w:r>
      <w:r w:rsidRPr="00050077">
        <w:rPr>
          <w:rFonts w:ascii="宋体" w:eastAsia="宋体" w:hAnsi="宋体" w:cs="宋体" w:hint="eastAsia"/>
          <w:color w:val="000000"/>
          <w:kern w:val="0"/>
          <w:sz w:val="32"/>
          <w:szCs w:val="32"/>
        </w:rPr>
        <w:t xml:space="preserve"> 证券公司为在柜台市场发行、销售与转让的私募产品提供登记服务的,应当保证产品持有人名册和登记过户记录真实、准确、完整,不得隐匿、伪造或者毁损相关资料。</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lastRenderedPageBreak/>
        <w:t>证券公司为其他发行人发行的私募产品提供登记服务的,应当与私募产品发行人签订协议。</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中国证监会认可的其他登记机构接受发行人委托,为在柜台市场发行、销售与转让的私募产品提供登记服务的,证券公司应当与其签订协议,对相关事项进行约定。</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第十六条</w:t>
      </w:r>
      <w:r w:rsidRPr="00050077">
        <w:rPr>
          <w:rFonts w:ascii="宋体" w:eastAsia="宋体" w:hAnsi="宋体" w:cs="宋体" w:hint="eastAsia"/>
          <w:color w:val="000000"/>
          <w:kern w:val="0"/>
          <w:sz w:val="32"/>
          <w:szCs w:val="32"/>
        </w:rPr>
        <w:t xml:space="preserve"> 证券公司柜台市场产品账户代码由12位字符组成,前3位为机构代码,由报价系统自动分配;后9位由阿拉伯数字和英文字母组成,优先使用阿拉伯数字,由报价系统、证券公司或者中国证监会认可的其他登记机构分配并管理。</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第十七条</w:t>
      </w:r>
      <w:r w:rsidRPr="00050077">
        <w:rPr>
          <w:rFonts w:ascii="宋体" w:eastAsia="宋体" w:hAnsi="宋体" w:cs="宋体" w:hint="eastAsia"/>
          <w:color w:val="000000"/>
          <w:kern w:val="0"/>
          <w:sz w:val="32"/>
          <w:szCs w:val="32"/>
        </w:rPr>
        <w:t xml:space="preserve"> 证券公司可以接受委托,为客户依法持有或者管理的在其柜台市场发行、销售与转让的私募产品提供保管、清算交割、估值核算、投资监督、风险监控、出具托管报告等服务。</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证券公司开展托管业务,应当采取有效措施,保证其托管的私募产品的安全,禁止挪用客户资产。</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第十八条</w:t>
      </w:r>
      <w:r w:rsidRPr="00050077">
        <w:rPr>
          <w:rFonts w:ascii="宋体" w:eastAsia="宋体" w:hAnsi="宋体" w:cs="宋体" w:hint="eastAsia"/>
          <w:color w:val="000000"/>
          <w:kern w:val="0"/>
          <w:sz w:val="32"/>
          <w:szCs w:val="32"/>
        </w:rPr>
        <w:t xml:space="preserve"> 为柜台市场提供结算服务的机构应当按照约定为投资者办理结算。</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收付双方的结算账户都是同一证券公司第三方存管账户的,证券公司可以根据结算需要在收付双方资金账户之间进行资金划转。</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收付双方的结算账户均不是第三方存管账户的,开展结算业务的机构可以通过报价系统或者中国证监会认可的其他机构为收付双方办理资金结算业务。</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lastRenderedPageBreak/>
        <w:t>付款方或者收款方的结算账户是证券公司第三方存管账户、对方结算账户不是该证券公司第三方存管账户的,证券公司应当将柜台市场客户资金专用存款账户作为过渡账户,进行客户交易结算资金专用存款账户与对方结算账户资金划付。</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证券公司与其第三方存管客户发生交易的,应当通过参与柜台市场的自有资金专用存款账户与柜台市场客户资金专用存款账户进行资金结算。</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第十九条</w:t>
      </w:r>
      <w:r w:rsidRPr="00050077">
        <w:rPr>
          <w:rFonts w:ascii="宋体" w:eastAsia="宋体" w:hAnsi="宋体" w:cs="宋体" w:hint="eastAsia"/>
          <w:color w:val="000000"/>
          <w:kern w:val="0"/>
          <w:sz w:val="32"/>
          <w:szCs w:val="32"/>
        </w:rPr>
        <w:t xml:space="preserve"> 为柜台市场提供登记、结算服务的机构应当按照协会规定报送柜台市场交易、登记、结算数据。协会与中国证券登记结算有限责任公司(以下简称“中国结算”)应当建立交易、登记、结算数据集中存储和共享机制。</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柜台市场私募产品的登记、结算可以由证券公司自行办理,也可以由中国证监会认可的其他机构办理。</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柜台市场产品账户应当与中国结算统一的全国投资者证券账户建立关联关系。</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第二十条</w:t>
      </w:r>
      <w:r w:rsidRPr="00050077">
        <w:rPr>
          <w:rFonts w:ascii="宋体" w:eastAsia="宋体" w:hAnsi="宋体" w:cs="宋体" w:hint="eastAsia"/>
          <w:color w:val="000000"/>
          <w:kern w:val="0"/>
          <w:sz w:val="32"/>
          <w:szCs w:val="32"/>
        </w:rPr>
        <w:t>柜台市场交易、登记、结算应当遵守或者优先采用中国证监会、协会、证券交易所、中国结算及其他有权机构制定的业务技术规范。</w:t>
      </w:r>
    </w:p>
    <w:p w:rsidR="00050077" w:rsidRDefault="00050077" w:rsidP="00050077">
      <w:pPr>
        <w:widowControl/>
        <w:spacing w:line="580" w:lineRule="exact"/>
        <w:ind w:firstLineChars="200" w:firstLine="643"/>
        <w:jc w:val="center"/>
        <w:rPr>
          <w:rFonts w:ascii="宋体" w:eastAsia="宋体" w:hAnsi="宋体" w:cs="宋体"/>
          <w:b/>
          <w:bCs/>
          <w:color w:val="000000"/>
          <w:kern w:val="0"/>
          <w:sz w:val="32"/>
          <w:szCs w:val="32"/>
        </w:rPr>
      </w:pPr>
    </w:p>
    <w:p w:rsidR="00050077" w:rsidRPr="00050077" w:rsidRDefault="00050077" w:rsidP="00050077">
      <w:pPr>
        <w:widowControl/>
        <w:spacing w:line="580" w:lineRule="exact"/>
        <w:ind w:firstLineChars="200" w:firstLine="643"/>
        <w:jc w:val="center"/>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第四章</w:t>
      </w:r>
      <w:r>
        <w:rPr>
          <w:rFonts w:ascii="宋体" w:eastAsia="宋体" w:hAnsi="宋体" w:cs="宋体" w:hint="eastAsia"/>
          <w:b/>
          <w:bCs/>
          <w:color w:val="000000"/>
          <w:kern w:val="0"/>
          <w:sz w:val="32"/>
          <w:szCs w:val="32"/>
        </w:rPr>
        <w:t> </w:t>
      </w:r>
      <w:r w:rsidRPr="00050077">
        <w:rPr>
          <w:rFonts w:ascii="宋体" w:eastAsia="宋体" w:hAnsi="宋体" w:cs="宋体" w:hint="eastAsia"/>
          <w:b/>
          <w:bCs/>
          <w:color w:val="000000"/>
          <w:kern w:val="0"/>
          <w:sz w:val="32"/>
          <w:szCs w:val="32"/>
        </w:rPr>
        <w:t>信息披露</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第二十一条</w:t>
      </w:r>
      <w:r w:rsidRPr="00050077">
        <w:rPr>
          <w:rFonts w:ascii="宋体" w:eastAsia="宋体" w:hAnsi="宋体" w:cs="宋体" w:hint="eastAsia"/>
          <w:color w:val="000000"/>
          <w:kern w:val="0"/>
          <w:sz w:val="32"/>
          <w:szCs w:val="32"/>
        </w:rPr>
        <w:t>证券公司应当制定明确的柜台市场信息披露规则,信息披露义务人应当对所披露信息的真实性、准确性、完整性负责。</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lastRenderedPageBreak/>
        <w:t>第二十二条</w:t>
      </w:r>
      <w:r w:rsidRPr="00050077">
        <w:rPr>
          <w:rFonts w:ascii="宋体" w:eastAsia="宋体" w:hAnsi="宋体" w:cs="宋体" w:hint="eastAsia"/>
          <w:color w:val="000000"/>
          <w:kern w:val="0"/>
          <w:sz w:val="32"/>
          <w:szCs w:val="32"/>
        </w:rPr>
        <w:t>证券公司应当督促信息披露义务人按照约定向投资者披露信息,并根据信息性质及私募业务相关规定分类披露,包括公开披露和向特定对象披露。</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法律法规、自律规则要求公开披露的信息,应当面向公众进行披露;法律法规、自律规则或者合同约定定向披露的信息,应当向特定对象披露。</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第二十三条</w:t>
      </w:r>
      <w:r w:rsidRPr="00050077">
        <w:rPr>
          <w:rFonts w:ascii="宋体" w:eastAsia="宋体" w:hAnsi="宋体" w:cs="宋体" w:hint="eastAsia"/>
          <w:color w:val="000000"/>
          <w:kern w:val="0"/>
          <w:sz w:val="32"/>
          <w:szCs w:val="32"/>
        </w:rPr>
        <w:t> 下列私募业务信息不得向公众披露:</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(一)涉及证券公司客户隐私的信息;</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(二)涉及第三方商业秘密的信息;</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(三)合同约定不得向公众公开的信息;</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(四) 法律法规和自律规则禁止向公众公开的信息。</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第二十四条</w:t>
      </w:r>
      <w:r w:rsidRPr="00050077">
        <w:rPr>
          <w:rFonts w:ascii="宋体" w:eastAsia="宋体" w:hAnsi="宋体" w:cs="宋体" w:hint="eastAsia"/>
          <w:color w:val="000000"/>
          <w:kern w:val="0"/>
          <w:sz w:val="32"/>
          <w:szCs w:val="32"/>
        </w:rPr>
        <w:t> 证券公司应当通过本公司网站、报价系统或者协会认可的其他信息披露平台,披露私募产品相关信息。</w:t>
      </w:r>
    </w:p>
    <w:p w:rsidR="00050077" w:rsidRDefault="00050077" w:rsidP="00050077">
      <w:pPr>
        <w:widowControl/>
        <w:spacing w:line="580" w:lineRule="exact"/>
        <w:ind w:firstLineChars="200" w:firstLine="643"/>
        <w:jc w:val="center"/>
        <w:rPr>
          <w:rFonts w:ascii="宋体" w:eastAsia="宋体" w:hAnsi="宋体" w:cs="宋体"/>
          <w:b/>
          <w:bCs/>
          <w:color w:val="000000"/>
          <w:kern w:val="0"/>
          <w:sz w:val="32"/>
          <w:szCs w:val="32"/>
        </w:rPr>
      </w:pPr>
    </w:p>
    <w:p w:rsidR="00050077" w:rsidRPr="00050077" w:rsidRDefault="00050077" w:rsidP="00050077">
      <w:pPr>
        <w:widowControl/>
        <w:spacing w:line="580" w:lineRule="exact"/>
        <w:ind w:firstLineChars="200" w:firstLine="643"/>
        <w:jc w:val="center"/>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第五章</w:t>
      </w:r>
      <w:r>
        <w:rPr>
          <w:rFonts w:ascii="宋体" w:eastAsia="宋体" w:hAnsi="宋体" w:cs="宋体" w:hint="eastAsia"/>
          <w:b/>
          <w:bCs/>
          <w:color w:val="000000"/>
          <w:kern w:val="0"/>
          <w:sz w:val="32"/>
          <w:szCs w:val="32"/>
        </w:rPr>
        <w:t xml:space="preserve">  </w:t>
      </w:r>
      <w:r w:rsidRPr="00050077">
        <w:rPr>
          <w:rFonts w:ascii="宋体" w:eastAsia="宋体" w:hAnsi="宋体" w:cs="宋体" w:hint="eastAsia"/>
          <w:b/>
          <w:bCs/>
          <w:color w:val="000000"/>
          <w:kern w:val="0"/>
          <w:sz w:val="32"/>
          <w:szCs w:val="32"/>
        </w:rPr>
        <w:t>自律管理</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第二十五条</w:t>
      </w:r>
      <w:r w:rsidRPr="00050077">
        <w:rPr>
          <w:rFonts w:ascii="宋体" w:eastAsia="宋体" w:hAnsi="宋体" w:cs="宋体" w:hint="eastAsia"/>
          <w:color w:val="000000"/>
          <w:kern w:val="0"/>
          <w:sz w:val="32"/>
          <w:szCs w:val="32"/>
        </w:rPr>
        <w:t> 证券公司应当通过与报价系统联网的方式实现业务信息的互联互通,信息范围包括但不限于私募产品基本情况、交易信息和登记结算信息等。</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第二十六条</w:t>
      </w:r>
      <w:r w:rsidRPr="00050077">
        <w:rPr>
          <w:rFonts w:ascii="宋体" w:eastAsia="宋体" w:hAnsi="宋体" w:cs="宋体" w:hint="eastAsia"/>
          <w:color w:val="000000"/>
          <w:kern w:val="0"/>
          <w:sz w:val="32"/>
          <w:szCs w:val="32"/>
        </w:rPr>
        <w:t> 证券公司应当向协会报送柜台市场业务年度报告以及重大事项报告。</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证券公司应当在每个会计年度结束之日起4个月内报送柜台市场业务年度报告,内容包括但不限于</w:t>
      </w:r>
      <w:bookmarkStart w:id="1" w:name="OLE_LINK3"/>
      <w:r w:rsidRPr="00050077">
        <w:rPr>
          <w:rFonts w:ascii="宋体" w:eastAsia="宋体" w:hAnsi="宋体" w:cs="宋体" w:hint="eastAsia"/>
          <w:color w:val="000000"/>
          <w:kern w:val="0"/>
          <w:sz w:val="32"/>
          <w:szCs w:val="32"/>
        </w:rPr>
        <w:t>柜台市场业务</w:t>
      </w:r>
      <w:bookmarkEnd w:id="1"/>
      <w:r w:rsidRPr="00050077">
        <w:rPr>
          <w:rFonts w:ascii="宋体" w:eastAsia="宋体" w:hAnsi="宋体" w:cs="宋体" w:hint="eastAsia"/>
          <w:color w:val="000000"/>
          <w:kern w:val="0"/>
          <w:sz w:val="32"/>
          <w:szCs w:val="32"/>
        </w:rPr>
        <w:t>总体情况、交易、登记结算、投资者适当性管理、风险及合规管理等。</w:t>
      </w:r>
    </w:p>
    <w:p w:rsidR="00050077" w:rsidRPr="00050077" w:rsidRDefault="00050077" w:rsidP="00050077">
      <w:pPr>
        <w:widowControl/>
        <w:spacing w:line="580" w:lineRule="exact"/>
        <w:ind w:firstLineChars="200" w:firstLine="640"/>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lastRenderedPageBreak/>
        <w:t>柜台市场发生对业务开展、客户权益、证券公司风险等产生重大影响的事项,证券公司应当在该事项发生后1个交易日内向协会报告,并于3个交易日内提交重大事项报告,内容包括:事项基本情况、产生原因、影响、应对措施等。</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第二十七条</w:t>
      </w:r>
      <w:r w:rsidRPr="00050077">
        <w:rPr>
          <w:rFonts w:ascii="宋体" w:eastAsia="宋体" w:hAnsi="宋体" w:cs="宋体" w:hint="eastAsia"/>
          <w:color w:val="000000"/>
          <w:kern w:val="0"/>
          <w:sz w:val="32"/>
          <w:szCs w:val="32"/>
        </w:rPr>
        <w:t> 协会可以对证券公司柜台市场进行现场检查或者非现场检查;证券公司及其相关人员应当予以配合,并按照要求提供有关文件和资料、接受问询。</w:t>
      </w:r>
    </w:p>
    <w:p w:rsidR="00050077" w:rsidRPr="00050077" w:rsidRDefault="00050077" w:rsidP="00050077">
      <w:pPr>
        <w:widowControl/>
        <w:spacing w:line="580" w:lineRule="exact"/>
        <w:ind w:firstLineChars="200" w:firstLine="643"/>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第二十八条</w:t>
      </w:r>
      <w:r w:rsidRPr="00050077">
        <w:rPr>
          <w:rFonts w:ascii="宋体" w:eastAsia="宋体" w:hAnsi="宋体" w:cs="宋体" w:hint="eastAsia"/>
          <w:color w:val="000000"/>
          <w:kern w:val="0"/>
          <w:sz w:val="32"/>
          <w:szCs w:val="32"/>
        </w:rPr>
        <w:t> 证券公司及其相关人员违反自律规则的,协会将视情节轻重采取自律惩戒措施,并记入诚信信息管理系统;存在违反法律、法规行为的,移交中国证监会或者其他有权机关依法查处。</w:t>
      </w:r>
    </w:p>
    <w:p w:rsidR="00050077" w:rsidRDefault="00050077" w:rsidP="00050077">
      <w:pPr>
        <w:widowControl/>
        <w:spacing w:line="580" w:lineRule="exact"/>
        <w:ind w:firstLineChars="200" w:firstLine="643"/>
        <w:jc w:val="center"/>
        <w:rPr>
          <w:rFonts w:ascii="宋体" w:eastAsia="宋体" w:hAnsi="宋体" w:cs="宋体"/>
          <w:b/>
          <w:bCs/>
          <w:color w:val="000000"/>
          <w:kern w:val="0"/>
          <w:sz w:val="32"/>
          <w:szCs w:val="32"/>
        </w:rPr>
      </w:pPr>
    </w:p>
    <w:p w:rsidR="00050077" w:rsidRPr="00050077" w:rsidRDefault="00050077" w:rsidP="00050077">
      <w:pPr>
        <w:widowControl/>
        <w:spacing w:line="580" w:lineRule="exact"/>
        <w:ind w:firstLineChars="200" w:firstLine="643"/>
        <w:jc w:val="center"/>
        <w:rPr>
          <w:rFonts w:ascii="宋体" w:eastAsia="宋体" w:hAnsi="宋体" w:cs="宋体" w:hint="eastAsia"/>
          <w:color w:val="000000"/>
          <w:kern w:val="0"/>
          <w:sz w:val="32"/>
          <w:szCs w:val="32"/>
        </w:rPr>
      </w:pPr>
      <w:r w:rsidRPr="00050077">
        <w:rPr>
          <w:rFonts w:ascii="宋体" w:eastAsia="宋体" w:hAnsi="宋体" w:cs="宋体" w:hint="eastAsia"/>
          <w:b/>
          <w:bCs/>
          <w:color w:val="000000"/>
          <w:kern w:val="0"/>
          <w:sz w:val="32"/>
          <w:szCs w:val="32"/>
        </w:rPr>
        <w:t>第六章</w:t>
      </w:r>
      <w:r>
        <w:rPr>
          <w:rFonts w:ascii="宋体" w:eastAsia="宋体" w:hAnsi="宋体" w:cs="宋体" w:hint="eastAsia"/>
          <w:b/>
          <w:bCs/>
          <w:color w:val="000000"/>
          <w:kern w:val="0"/>
          <w:sz w:val="32"/>
          <w:szCs w:val="32"/>
        </w:rPr>
        <w:t> </w:t>
      </w:r>
      <w:r w:rsidRPr="00050077">
        <w:rPr>
          <w:rFonts w:ascii="宋体" w:eastAsia="宋体" w:hAnsi="宋体" w:cs="宋体" w:hint="eastAsia"/>
          <w:b/>
          <w:bCs/>
          <w:color w:val="000000"/>
          <w:kern w:val="0"/>
          <w:sz w:val="32"/>
          <w:szCs w:val="32"/>
        </w:rPr>
        <w:t>附则</w:t>
      </w:r>
    </w:p>
    <w:p w:rsidR="00050077" w:rsidRPr="00050077" w:rsidRDefault="00050077" w:rsidP="00050077">
      <w:pPr>
        <w:widowControl/>
        <w:spacing w:line="580" w:lineRule="exact"/>
        <w:rPr>
          <w:rFonts w:ascii="宋体" w:eastAsia="宋体" w:hAnsi="宋体" w:cs="宋体" w:hint="eastAsia"/>
          <w:color w:val="000000"/>
          <w:kern w:val="0"/>
          <w:sz w:val="32"/>
          <w:szCs w:val="32"/>
        </w:rPr>
      </w:pPr>
      <w:r w:rsidRPr="00050077">
        <w:rPr>
          <w:rFonts w:ascii="宋体" w:eastAsia="宋体" w:hAnsi="宋体" w:cs="宋体" w:hint="eastAsia"/>
          <w:color w:val="000000"/>
          <w:kern w:val="0"/>
          <w:sz w:val="32"/>
          <w:szCs w:val="32"/>
        </w:rPr>
        <w:t xml:space="preserve">　</w:t>
      </w:r>
      <w:r>
        <w:rPr>
          <w:rFonts w:ascii="宋体" w:eastAsia="宋体" w:hAnsi="宋体" w:cs="宋体" w:hint="eastAsia"/>
          <w:color w:val="000000"/>
          <w:kern w:val="0"/>
          <w:sz w:val="32"/>
          <w:szCs w:val="32"/>
        </w:rPr>
        <w:t xml:space="preserve">  </w:t>
      </w:r>
      <w:r w:rsidRPr="00050077">
        <w:rPr>
          <w:rFonts w:ascii="宋体" w:eastAsia="宋体" w:hAnsi="宋体" w:cs="宋体" w:hint="eastAsia"/>
          <w:b/>
          <w:bCs/>
          <w:color w:val="000000"/>
          <w:kern w:val="0"/>
          <w:sz w:val="32"/>
          <w:szCs w:val="32"/>
        </w:rPr>
        <w:t>第二十九条</w:t>
      </w:r>
      <w:r w:rsidRPr="00050077">
        <w:rPr>
          <w:rFonts w:ascii="宋体" w:eastAsia="宋体" w:hAnsi="宋体" w:cs="宋体" w:hint="eastAsia"/>
          <w:color w:val="000000"/>
          <w:kern w:val="0"/>
          <w:sz w:val="32"/>
          <w:szCs w:val="32"/>
        </w:rPr>
        <w:t> 证券公司可以通过柜台市场销售或者转让《证券公司代销金融产品管理规定》允许代销的产品。</w:t>
      </w:r>
    </w:p>
    <w:p w:rsidR="00817DDA" w:rsidRPr="00050077" w:rsidRDefault="00050077" w:rsidP="00050077">
      <w:pPr>
        <w:spacing w:line="580" w:lineRule="exact"/>
        <w:ind w:firstLineChars="200" w:firstLine="643"/>
        <w:rPr>
          <w:sz w:val="32"/>
          <w:szCs w:val="32"/>
        </w:rPr>
      </w:pPr>
      <w:r>
        <w:rPr>
          <w:rFonts w:ascii="宋体" w:eastAsia="宋体" w:hAnsi="宋体" w:cs="宋体" w:hint="eastAsia"/>
          <w:b/>
          <w:bCs/>
          <w:color w:val="000000"/>
          <w:kern w:val="0"/>
          <w:sz w:val="32"/>
          <w:szCs w:val="32"/>
        </w:rPr>
        <w:t xml:space="preserve"> </w:t>
      </w:r>
      <w:r w:rsidRPr="00050077">
        <w:rPr>
          <w:rFonts w:ascii="宋体" w:eastAsia="宋体" w:hAnsi="宋体" w:cs="宋体" w:hint="eastAsia"/>
          <w:b/>
          <w:bCs/>
          <w:color w:val="000000"/>
          <w:kern w:val="0"/>
          <w:sz w:val="32"/>
          <w:szCs w:val="32"/>
        </w:rPr>
        <w:t>第三十条</w:t>
      </w:r>
      <w:r w:rsidRPr="00050077">
        <w:rPr>
          <w:rFonts w:ascii="宋体" w:eastAsia="宋体" w:hAnsi="宋体" w:cs="宋体" w:hint="eastAsia"/>
          <w:color w:val="000000"/>
          <w:kern w:val="0"/>
          <w:sz w:val="32"/>
          <w:szCs w:val="32"/>
        </w:rPr>
        <w:t xml:space="preserve"> 本办法由协会负责解释,自发布之日起施行。</w:t>
      </w:r>
    </w:p>
    <w:sectPr w:rsidR="00817DDA" w:rsidRPr="000500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41F" w:rsidRDefault="0080741F" w:rsidP="00050077">
      <w:r>
        <w:separator/>
      </w:r>
    </w:p>
  </w:endnote>
  <w:endnote w:type="continuationSeparator" w:id="0">
    <w:p w:rsidR="0080741F" w:rsidRDefault="0080741F" w:rsidP="0005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41F" w:rsidRDefault="0080741F" w:rsidP="00050077">
      <w:r>
        <w:separator/>
      </w:r>
    </w:p>
  </w:footnote>
  <w:footnote w:type="continuationSeparator" w:id="0">
    <w:p w:rsidR="0080741F" w:rsidRDefault="0080741F" w:rsidP="00050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084"/>
    <w:rsid w:val="00050077"/>
    <w:rsid w:val="0080741F"/>
    <w:rsid w:val="00817DDA"/>
    <w:rsid w:val="008F7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663B90-59F8-4173-BD7D-4BFE1DAD8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00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0077"/>
    <w:rPr>
      <w:sz w:val="18"/>
      <w:szCs w:val="18"/>
    </w:rPr>
  </w:style>
  <w:style w:type="paragraph" w:styleId="a4">
    <w:name w:val="footer"/>
    <w:basedOn w:val="a"/>
    <w:link w:val="Char0"/>
    <w:uiPriority w:val="99"/>
    <w:unhideWhenUsed/>
    <w:rsid w:val="00050077"/>
    <w:pPr>
      <w:tabs>
        <w:tab w:val="center" w:pos="4153"/>
        <w:tab w:val="right" w:pos="8306"/>
      </w:tabs>
      <w:snapToGrid w:val="0"/>
      <w:jc w:val="left"/>
    </w:pPr>
    <w:rPr>
      <w:sz w:val="18"/>
      <w:szCs w:val="18"/>
    </w:rPr>
  </w:style>
  <w:style w:type="character" w:customStyle="1" w:styleId="Char0">
    <w:name w:val="页脚 Char"/>
    <w:basedOn w:val="a0"/>
    <w:link w:val="a4"/>
    <w:uiPriority w:val="99"/>
    <w:rsid w:val="00050077"/>
    <w:rPr>
      <w:sz w:val="18"/>
      <w:szCs w:val="18"/>
    </w:rPr>
  </w:style>
  <w:style w:type="paragraph" w:styleId="a5">
    <w:name w:val="Normal (Web)"/>
    <w:basedOn w:val="a"/>
    <w:uiPriority w:val="99"/>
    <w:semiHidden/>
    <w:unhideWhenUsed/>
    <w:rsid w:val="0005007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50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680083">
      <w:bodyDiv w:val="1"/>
      <w:marLeft w:val="0"/>
      <w:marRight w:val="0"/>
      <w:marTop w:val="0"/>
      <w:marBottom w:val="0"/>
      <w:divBdr>
        <w:top w:val="none" w:sz="0" w:space="0" w:color="auto"/>
        <w:left w:val="none" w:sz="0" w:space="0" w:color="auto"/>
        <w:bottom w:val="none" w:sz="0" w:space="0" w:color="auto"/>
        <w:right w:val="none" w:sz="0" w:space="0" w:color="auto"/>
      </w:divBdr>
      <w:divsChild>
        <w:div w:id="901402838">
          <w:marLeft w:val="0"/>
          <w:marRight w:val="0"/>
          <w:marTop w:val="0"/>
          <w:marBottom w:val="0"/>
          <w:divBdr>
            <w:top w:val="none" w:sz="0" w:space="0" w:color="auto"/>
            <w:left w:val="none" w:sz="0" w:space="0" w:color="auto"/>
            <w:bottom w:val="none" w:sz="0" w:space="0" w:color="auto"/>
            <w:right w:val="none" w:sz="0" w:space="0" w:color="auto"/>
          </w:divBdr>
          <w:divsChild>
            <w:div w:id="1018240757">
              <w:marLeft w:val="0"/>
              <w:marRight w:val="0"/>
              <w:marTop w:val="0"/>
              <w:marBottom w:val="0"/>
              <w:divBdr>
                <w:top w:val="none" w:sz="0" w:space="0" w:color="auto"/>
                <w:left w:val="none" w:sz="0" w:space="0" w:color="auto"/>
                <w:bottom w:val="none" w:sz="0" w:space="0" w:color="auto"/>
                <w:right w:val="none" w:sz="0" w:space="0" w:color="auto"/>
              </w:divBdr>
              <w:divsChild>
                <w:div w:id="3423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刘嵩洋</dc:creator>
  <cp:keywords/>
  <dc:description/>
  <cp:lastModifiedBy>刘嵩洋</cp:lastModifiedBy>
  <cp:revision>2</cp:revision>
  <dcterms:created xsi:type="dcterms:W3CDTF">2015-08-11T08:09:00Z</dcterms:created>
  <dcterms:modified xsi:type="dcterms:W3CDTF">2015-08-11T08:14:00Z</dcterms:modified>
</cp:coreProperties>
</file>